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2000000">
      <w:pPr>
        <w:widowControl w:val="1"/>
        <w:spacing w:afterAutospacing="on" w:beforeAutospacing="on" w:line="240" w:lineRule="auto"/>
        <w:ind w:left="360"/>
        <w:jc w:val="center"/>
        <w:rPr>
          <w:rFonts w:ascii="Arial" w:hAnsi="Arial"/>
          <w:b w:val="1"/>
          <w:sz w:val="28"/>
        </w:rPr>
      </w:pPr>
      <w:r>
        <w:rPr>
          <w:rFonts w:ascii="Georgia" w:hAnsi="Georgia"/>
          <w:b w:val="1"/>
          <w:sz w:val="28"/>
        </w:rPr>
        <w:fldChar w:fldCharType="begin"/>
      </w:r>
      <w:r>
        <w:rPr>
          <w:rFonts w:ascii="Georgia" w:hAnsi="Georgia"/>
          <w:b w:val="1"/>
          <w:sz w:val="28"/>
        </w:rPr>
        <w:instrText>HYPERLINK "http://school30-nt.ucoz.ru/0202/1/uslovija_pitanija.docx"</w:instrText>
      </w:r>
      <w:r>
        <w:rPr>
          <w:rFonts w:ascii="Georgia" w:hAnsi="Georgia"/>
          <w:b w:val="1"/>
          <w:sz w:val="28"/>
        </w:rPr>
        <w:fldChar w:fldCharType="separate"/>
      </w:r>
      <w:r>
        <w:rPr>
          <w:rFonts w:ascii="Georgia" w:hAnsi="Georgia"/>
          <w:b w:val="1"/>
          <w:sz w:val="28"/>
        </w:rPr>
        <w:t>Условия питания обучающихся, в том числе инвалидов и лиц с ограниченными возможностями здоровья</w:t>
      </w:r>
      <w:r>
        <w:rPr>
          <w:rFonts w:ascii="Georgia" w:hAnsi="Georgia"/>
          <w:b w:val="1"/>
          <w:sz w:val="28"/>
        </w:rPr>
        <w:fldChar w:fldCharType="end"/>
      </w:r>
      <w:r>
        <w:rPr>
          <w:rFonts w:ascii="Georgia" w:hAnsi="Georgia"/>
          <w:b w:val="1"/>
          <w:sz w:val="28"/>
        </w:rPr>
        <w:t>:</w:t>
      </w:r>
    </w:p>
    <w:p w14:paraId="03000000">
      <w:pPr>
        <w:pStyle w:val="Style_2"/>
        <w:widowControl w:val="1"/>
        <w:ind w:firstLine="709"/>
        <w:jc w:val="both"/>
        <w:rPr>
          <w:sz w:val="22"/>
        </w:rPr>
      </w:pPr>
      <w:r>
        <w:rPr>
          <w:sz w:val="22"/>
        </w:rPr>
        <w:t xml:space="preserve">1. </w:t>
      </w:r>
      <w:r>
        <w:rPr>
          <w:sz w:val="22"/>
        </w:rPr>
        <w:t>Два о</w:t>
      </w:r>
      <w:r>
        <w:rPr>
          <w:sz w:val="22"/>
        </w:rPr>
        <w:t>беденны</w:t>
      </w:r>
      <w:r>
        <w:rPr>
          <w:sz w:val="22"/>
        </w:rPr>
        <w:t>х</w:t>
      </w:r>
      <w:r>
        <w:rPr>
          <w:sz w:val="22"/>
        </w:rPr>
        <w:t xml:space="preserve"> </w:t>
      </w:r>
      <w:r>
        <w:rPr>
          <w:sz w:val="22"/>
        </w:rPr>
        <w:t>зал</w:t>
      </w:r>
      <w:r>
        <w:rPr>
          <w:sz w:val="22"/>
        </w:rPr>
        <w:t>а</w:t>
      </w:r>
      <w:r>
        <w:rPr>
          <w:sz w:val="22"/>
        </w:rPr>
        <w:t xml:space="preserve"> </w:t>
      </w:r>
      <w:r>
        <w:rPr>
          <w:color w:val="000000"/>
          <w:sz w:val="22"/>
        </w:rPr>
        <w:t>площадью</w:t>
      </w:r>
      <w:r>
        <w:rPr>
          <w:color w:val="000000"/>
          <w:sz w:val="22"/>
        </w:rPr>
        <w:t xml:space="preserve"> </w:t>
      </w:r>
      <w:r>
        <w:rPr>
          <w:color w:val="000000"/>
          <w:sz w:val="22"/>
        </w:rPr>
        <w:t xml:space="preserve">60,1 и 65,1 </w:t>
      </w:r>
      <w:r>
        <w:rPr>
          <w:color w:val="000000"/>
          <w:sz w:val="22"/>
        </w:rPr>
        <w:t>квадратных</w:t>
      </w:r>
      <w:r>
        <w:rPr>
          <w:color w:val="000000"/>
          <w:sz w:val="22"/>
        </w:rPr>
        <w:t xml:space="preserve"> </w:t>
      </w:r>
      <w:r>
        <w:rPr>
          <w:sz w:val="22"/>
        </w:rPr>
        <w:t xml:space="preserve">метра </w:t>
      </w:r>
    </w:p>
    <w:p w14:paraId="04000000">
      <w:pPr>
        <w:pStyle w:val="Style_2"/>
        <w:widowControl w:val="1"/>
        <w:ind w:firstLine="709"/>
        <w:jc w:val="both"/>
        <w:rPr>
          <w:sz w:val="22"/>
        </w:rPr>
      </w:pPr>
      <w:r>
        <w:rPr>
          <w:sz w:val="22"/>
        </w:rPr>
        <w:t xml:space="preserve">2. Одновременно может быть организовано питание на </w:t>
      </w:r>
      <w:r>
        <w:rPr>
          <w:sz w:val="22"/>
        </w:rPr>
        <w:t>1</w:t>
      </w:r>
      <w:r>
        <w:rPr>
          <w:sz w:val="22"/>
        </w:rPr>
        <w:t>34</w:t>
      </w:r>
      <w:r>
        <w:rPr>
          <w:sz w:val="22"/>
        </w:rPr>
        <w:t xml:space="preserve"> </w:t>
      </w:r>
      <w:r>
        <w:rPr>
          <w:sz w:val="22"/>
        </w:rPr>
        <w:t>посадочных мест</w:t>
      </w:r>
      <w:r>
        <w:rPr>
          <w:sz w:val="22"/>
        </w:rPr>
        <w:t>а</w:t>
      </w:r>
      <w:r>
        <w:rPr>
          <w:sz w:val="22"/>
        </w:rPr>
        <w:t>.</w:t>
      </w:r>
    </w:p>
    <w:p w14:paraId="05000000">
      <w:pPr>
        <w:pStyle w:val="Style_2"/>
        <w:widowControl w:val="1"/>
        <w:ind w:firstLine="709"/>
        <w:jc w:val="both"/>
        <w:rPr>
          <w:sz w:val="22"/>
        </w:rPr>
      </w:pPr>
      <w:r>
        <w:rPr>
          <w:sz w:val="22"/>
        </w:rPr>
        <w:t>3. В</w:t>
      </w:r>
      <w:r>
        <w:rPr>
          <w:sz w:val="22"/>
        </w:rPr>
        <w:t xml:space="preserve"> столовой установлены умывальники (</w:t>
      </w:r>
      <w:r>
        <w:rPr>
          <w:sz w:val="22"/>
        </w:rPr>
        <w:t xml:space="preserve">7 </w:t>
      </w:r>
      <w:r>
        <w:rPr>
          <w:sz w:val="22"/>
        </w:rPr>
        <w:t>штук)</w:t>
      </w:r>
      <w:r>
        <w:rPr>
          <w:sz w:val="22"/>
        </w:rPr>
        <w:t>.</w:t>
      </w:r>
      <w:r>
        <w:rPr>
          <w:sz w:val="22"/>
        </w:rPr>
        <w:t xml:space="preserve"> </w:t>
      </w:r>
    </w:p>
    <w:p w14:paraId="06000000">
      <w:pPr>
        <w:pStyle w:val="Style_2"/>
        <w:widowControl w:val="1"/>
        <w:ind w:firstLine="709"/>
        <w:jc w:val="both"/>
        <w:rPr>
          <w:sz w:val="22"/>
        </w:rPr>
      </w:pPr>
      <w:r>
        <w:rPr>
          <w:sz w:val="22"/>
        </w:rPr>
        <w:t xml:space="preserve">4. </w:t>
      </w:r>
      <w:r>
        <w:rPr>
          <w:sz w:val="22"/>
        </w:rPr>
        <w:t>У</w:t>
      </w:r>
      <w:r>
        <w:rPr>
          <w:sz w:val="22"/>
        </w:rPr>
        <w:t xml:space="preserve"> умывальников размещено</w:t>
      </w:r>
      <w:r>
        <w:rPr>
          <w:sz w:val="22"/>
        </w:rPr>
        <w:t xml:space="preserve"> 3</w:t>
      </w:r>
      <w:r>
        <w:rPr>
          <w:sz w:val="22"/>
        </w:rPr>
        <w:t xml:space="preserve"> электросушител</w:t>
      </w:r>
      <w:r>
        <w:rPr>
          <w:sz w:val="22"/>
        </w:rPr>
        <w:t>я</w:t>
      </w:r>
      <w:r>
        <w:rPr>
          <w:sz w:val="22"/>
        </w:rPr>
        <w:t xml:space="preserve"> для рук</w:t>
      </w:r>
      <w:r>
        <w:rPr>
          <w:sz w:val="22"/>
        </w:rPr>
        <w:t>.</w:t>
      </w:r>
      <w:r>
        <w:rPr>
          <w:sz w:val="22"/>
        </w:rPr>
        <w:t xml:space="preserve"> </w:t>
      </w:r>
    </w:p>
    <w:p w14:paraId="07000000">
      <w:pPr>
        <w:pStyle w:val="Style_2"/>
        <w:widowControl w:val="1"/>
        <w:ind w:firstLine="709"/>
        <w:jc w:val="both"/>
        <w:rPr>
          <w:sz w:val="22"/>
        </w:rPr>
      </w:pPr>
      <w:r>
        <w:rPr>
          <w:sz w:val="22"/>
        </w:rPr>
        <w:t xml:space="preserve">5. Заключен контракт на организацию питания обучающихся 1-11 классов с </w:t>
      </w:r>
      <w:r>
        <w:rPr>
          <w:sz w:val="22"/>
        </w:rPr>
        <w:t>ООО «Трест общественного питания»</w:t>
      </w:r>
    </w:p>
    <w:p w14:paraId="08000000">
      <w:pPr>
        <w:pStyle w:val="Style_2"/>
        <w:widowControl w:val="1"/>
        <w:ind w:firstLine="709"/>
        <w:jc w:val="both"/>
        <w:rPr>
          <w:sz w:val="22"/>
        </w:rPr>
      </w:pPr>
      <w:r>
        <w:rPr>
          <w:sz w:val="22"/>
        </w:rPr>
        <w:t>6. Предоставляется питание обучающимся за счет средств родителей (</w:t>
      </w:r>
      <w:r>
        <w:rPr>
          <w:sz w:val="22"/>
        </w:rPr>
        <w:t>законных представителей)</w:t>
      </w:r>
      <w:r>
        <w:rPr>
          <w:sz w:val="22"/>
        </w:rPr>
        <w:t>.</w:t>
      </w:r>
    </w:p>
    <w:p w14:paraId="09000000">
      <w:pPr>
        <w:pStyle w:val="Style_2"/>
        <w:widowControl w:val="1"/>
        <w:ind w:firstLine="709"/>
        <w:jc w:val="both"/>
        <w:rPr>
          <w:sz w:val="22"/>
        </w:rPr>
      </w:pPr>
      <w:r>
        <w:rPr>
          <w:sz w:val="22"/>
        </w:rPr>
        <w:t>7. Для инвалидов и детей с ОВЗ установлены двухстворчатые распашные двери.</w:t>
      </w:r>
    </w:p>
    <w:p w14:paraId="0A000000">
      <w:pPr>
        <w:pStyle w:val="Style_2"/>
        <w:widowControl w:val="1"/>
        <w:ind w:firstLine="709"/>
        <w:jc w:val="both"/>
        <w:rPr>
          <w:b w:val="1"/>
        </w:rPr>
      </w:pPr>
      <w:bookmarkStart w:id="1" w:name="_Hlk159840724"/>
      <w:r>
        <w:rPr>
          <w:color w:val="000000"/>
          <w:sz w:val="22"/>
        </w:rPr>
        <w:t>В соответствии с</w:t>
      </w:r>
      <w:r>
        <w:rPr>
          <w:color w:val="000000"/>
          <w:sz w:val="22"/>
        </w:rPr>
        <w:t xml:space="preserve"> </w:t>
      </w:r>
      <w:r>
        <w:rPr>
          <w:color w:val="000000"/>
          <w:sz w:val="22"/>
        </w:rPr>
        <w:t>Постановление</w:t>
      </w:r>
      <w:r>
        <w:rPr>
          <w:color w:val="000000"/>
          <w:sz w:val="22"/>
        </w:rPr>
        <w:t>м</w:t>
      </w:r>
      <w:r>
        <w:rPr>
          <w:color w:val="000000"/>
          <w:sz w:val="22"/>
        </w:rPr>
        <w:t xml:space="preserve"> Администрации города Нижний</w:t>
      </w:r>
      <w:r>
        <w:rPr>
          <w:color w:val="000000"/>
          <w:sz w:val="22"/>
        </w:rPr>
        <w:t xml:space="preserve"> Тагил Свердловской области от </w:t>
      </w:r>
      <w:r>
        <w:rPr>
          <w:color w:val="000000"/>
          <w:sz w:val="22"/>
        </w:rPr>
        <w:t xml:space="preserve">16.12.2025 </w:t>
      </w:r>
      <w:r>
        <w:rPr>
          <w:color w:val="000000"/>
          <w:sz w:val="22"/>
        </w:rPr>
        <w:t xml:space="preserve">г. N </w:t>
      </w:r>
      <w:r>
        <w:rPr>
          <w:color w:val="000000"/>
          <w:sz w:val="22"/>
        </w:rPr>
        <w:t>3441</w:t>
      </w:r>
      <w:r>
        <w:rPr>
          <w:color w:val="000000"/>
          <w:sz w:val="22"/>
        </w:rPr>
        <w:t xml:space="preserve">-ПА </w:t>
      </w:r>
      <w:bookmarkEnd w:id="1"/>
      <w:r>
        <w:rPr>
          <w:color w:val="000000"/>
          <w:sz w:val="22"/>
        </w:rPr>
        <w:t>"</w:t>
      </w:r>
      <w:r>
        <w:rPr>
          <w:color w:val="000000"/>
          <w:sz w:val="22"/>
        </w:rPr>
        <w:t>Об организации питания учащихся муниципальных общеобразовательных учреждений на 202</w:t>
      </w:r>
      <w:r>
        <w:rPr>
          <w:color w:val="000000"/>
          <w:sz w:val="22"/>
        </w:rPr>
        <w:t>6</w:t>
      </w:r>
      <w:r>
        <w:rPr>
          <w:color w:val="000000"/>
          <w:sz w:val="22"/>
        </w:rPr>
        <w:t>-202</w:t>
      </w:r>
      <w:r>
        <w:rPr>
          <w:color w:val="000000"/>
          <w:sz w:val="22"/>
        </w:rPr>
        <w:t>8</w:t>
      </w:r>
      <w:r>
        <w:rPr>
          <w:color w:val="000000"/>
          <w:sz w:val="22"/>
        </w:rPr>
        <w:t xml:space="preserve"> годы и о признании утратившим силу постановления Администрации города Нижний Тагил от 1</w:t>
      </w:r>
      <w:r>
        <w:rPr>
          <w:color w:val="000000"/>
          <w:sz w:val="22"/>
        </w:rPr>
        <w:t>0</w:t>
      </w:r>
      <w:r>
        <w:rPr>
          <w:color w:val="000000"/>
          <w:sz w:val="22"/>
        </w:rPr>
        <w:t>.01.202</w:t>
      </w:r>
      <w:r>
        <w:rPr>
          <w:color w:val="000000"/>
          <w:sz w:val="22"/>
        </w:rPr>
        <w:t>3</w:t>
      </w:r>
      <w:r>
        <w:rPr>
          <w:color w:val="000000"/>
          <w:sz w:val="22"/>
        </w:rPr>
        <w:t xml:space="preserve"> № </w:t>
      </w:r>
      <w:r>
        <w:rPr>
          <w:color w:val="000000"/>
          <w:sz w:val="22"/>
        </w:rPr>
        <w:t>6</w:t>
      </w:r>
      <w:r>
        <w:rPr>
          <w:color w:val="000000"/>
          <w:sz w:val="22"/>
        </w:rPr>
        <w:t>-ПА</w:t>
      </w:r>
      <w:r>
        <w:rPr>
          <w:color w:val="000000"/>
          <w:sz w:val="22"/>
        </w:rPr>
        <w:t>"</w:t>
      </w:r>
      <w:r>
        <w:rPr>
          <w:color w:val="000000"/>
          <w:sz w:val="22"/>
        </w:rPr>
        <w:t xml:space="preserve">, </w:t>
      </w:r>
      <w:r>
        <w:rPr>
          <w:color w:val="000000"/>
          <w:sz w:val="22"/>
        </w:rPr>
        <w:t>п</w:t>
      </w:r>
      <w:r>
        <w:rPr>
          <w:color w:val="000000"/>
          <w:sz w:val="22"/>
        </w:rPr>
        <w:t>риложение</w:t>
      </w:r>
      <w:r>
        <w:rPr>
          <w:color w:val="000000"/>
          <w:sz w:val="22"/>
        </w:rPr>
        <w:t>м</w:t>
      </w:r>
      <w:r>
        <w:rPr>
          <w:color w:val="000000"/>
          <w:sz w:val="22"/>
        </w:rPr>
        <w:t xml:space="preserve"> №</w:t>
      </w:r>
      <w:r>
        <w:rPr>
          <w:color w:val="000000"/>
          <w:sz w:val="22"/>
        </w:rPr>
        <w:t xml:space="preserve"> </w:t>
      </w:r>
      <w:r>
        <w:rPr>
          <w:color w:val="000000"/>
          <w:sz w:val="22"/>
        </w:rPr>
        <w:t xml:space="preserve">1 к </w:t>
      </w:r>
      <w:r>
        <w:rPr>
          <w:color w:val="000000"/>
          <w:sz w:val="22"/>
        </w:rPr>
        <w:t>договору</w:t>
      </w:r>
      <w:r>
        <w:rPr>
          <w:color w:val="000000"/>
          <w:sz w:val="22"/>
        </w:rPr>
        <w:t xml:space="preserve"> № </w:t>
      </w:r>
      <w:r>
        <w:rPr>
          <w:color w:val="000000"/>
          <w:sz w:val="22"/>
        </w:rPr>
        <w:t>2</w:t>
      </w:r>
      <w:r>
        <w:rPr>
          <w:color w:val="000000"/>
          <w:sz w:val="22"/>
        </w:rPr>
        <w:t xml:space="preserve"> от </w:t>
      </w:r>
      <w:r>
        <w:rPr>
          <w:color w:val="000000"/>
          <w:sz w:val="22"/>
        </w:rPr>
        <w:t>2</w:t>
      </w:r>
      <w:r>
        <w:rPr>
          <w:color w:val="000000"/>
          <w:sz w:val="22"/>
        </w:rPr>
        <w:t>5</w:t>
      </w:r>
      <w:r>
        <w:rPr>
          <w:color w:val="000000"/>
          <w:sz w:val="22"/>
        </w:rPr>
        <w:t>.0</w:t>
      </w:r>
      <w:r>
        <w:rPr>
          <w:color w:val="000000"/>
          <w:sz w:val="22"/>
        </w:rPr>
        <w:t>2</w:t>
      </w:r>
      <w:r>
        <w:rPr>
          <w:color w:val="000000"/>
          <w:sz w:val="22"/>
        </w:rPr>
        <w:t xml:space="preserve">.2026 </w:t>
      </w:r>
      <w:r>
        <w:rPr>
          <w:color w:val="000000"/>
          <w:sz w:val="22"/>
        </w:rPr>
        <w:t>г</w:t>
      </w:r>
      <w:r>
        <w:rPr>
          <w:color w:val="000000"/>
          <w:sz w:val="22"/>
        </w:rPr>
        <w:t>.</w:t>
      </w:r>
      <w:r>
        <w:rPr>
          <w:color w:val="000000"/>
          <w:sz w:val="22"/>
        </w:rPr>
        <w:t xml:space="preserve"> </w:t>
      </w:r>
      <w:r>
        <w:rPr>
          <w:color w:val="000000"/>
          <w:sz w:val="22"/>
        </w:rPr>
        <w:t xml:space="preserve"> </w:t>
      </w:r>
      <w:r>
        <w:rPr>
          <w:color w:val="000000"/>
          <w:sz w:val="22"/>
        </w:rPr>
        <w:t>п</w:t>
      </w:r>
      <w:r>
        <w:rPr>
          <w:color w:val="000000"/>
          <w:sz w:val="22"/>
        </w:rPr>
        <w:t>редоставляется питание за счет средств бюджета следующим категориям обучающихся:</w:t>
      </w:r>
    </w:p>
    <w:tbl>
      <w:tblPr>
        <w:tblStyle w:val="Style_3"/>
        <w:tblW w:type="auto" w:w="0"/>
        <w:tblInd w:type="dxa" w:w="108"/>
        <w:tblLayout w:type="fixed"/>
      </w:tblPr>
      <w:tblGrid>
        <w:gridCol w:w="6237"/>
        <w:gridCol w:w="2977"/>
      </w:tblGrid>
      <w:tr>
        <w:tc>
          <w:tcPr>
            <w:tcW w:type="dxa" w:w="6237"/>
            <w:vMerge w:val="restart"/>
          </w:tcPr>
          <w:p w14:paraId="0B000000">
            <w:pPr>
              <w:pStyle w:val="Style_2"/>
              <w:rPr>
                <w:sz w:val="20"/>
              </w:rPr>
            </w:pPr>
            <w:r>
              <w:rPr>
                <w:b w:val="1"/>
                <w:sz w:val="20"/>
              </w:rPr>
              <w:t>Наименование категории питания учащихся муниципальных общеобразовательных учреждений</w:t>
            </w:r>
          </w:p>
        </w:tc>
        <w:tc>
          <w:tcPr>
            <w:tcW w:type="dxa" w:w="2977"/>
          </w:tcPr>
          <w:p w14:paraId="0C000000">
            <w:pPr>
              <w:pStyle w:val="Style_2"/>
              <w:widowControl w:val="1"/>
              <w:ind/>
              <w:jc w:val="center"/>
              <w:rPr>
                <w:b w:val="1"/>
                <w:sz w:val="20"/>
              </w:rPr>
            </w:pPr>
            <w:r>
              <w:rPr>
                <w:b w:val="1"/>
                <w:sz w:val="20"/>
              </w:rPr>
              <w:t xml:space="preserve">Цена на одного учащегося в день, руб. </w:t>
            </w:r>
          </w:p>
        </w:tc>
      </w:tr>
      <w:tr>
        <w:tc>
          <w:tcPr>
            <w:tcW w:type="dxa" w:w="6237"/>
            <w:gridSpan w:val="1"/>
            <w:vMerge w:val="continue"/>
          </w:tcPr>
          <w:p/>
        </w:tc>
        <w:tc>
          <w:tcPr>
            <w:tcW w:type="dxa" w:w="2977"/>
          </w:tcPr>
          <w:p w14:paraId="0D000000">
            <w:pPr>
              <w:pStyle w:val="Style_2"/>
              <w:widowControl w:val="1"/>
              <w:ind/>
              <w:jc w:val="center"/>
              <w:rPr>
                <w:b w:val="1"/>
                <w:color w:val="000000"/>
                <w:sz w:val="20"/>
              </w:rPr>
            </w:pPr>
            <w:r>
              <w:rPr>
                <w:b w:val="1"/>
                <w:color w:val="000000"/>
                <w:sz w:val="20"/>
              </w:rPr>
              <w:t>10</w:t>
            </w:r>
            <w:r>
              <w:rPr>
                <w:b w:val="1"/>
                <w:color w:val="000000"/>
                <w:sz w:val="20"/>
              </w:rPr>
              <w:t>.</w:t>
            </w:r>
            <w:r>
              <w:rPr>
                <w:b w:val="1"/>
                <w:color w:val="000000"/>
                <w:sz w:val="20"/>
              </w:rPr>
              <w:t>0</w:t>
            </w:r>
            <w:r>
              <w:rPr>
                <w:b w:val="1"/>
                <w:color w:val="000000"/>
                <w:sz w:val="20"/>
              </w:rPr>
              <w:t>3</w:t>
            </w:r>
            <w:r>
              <w:rPr>
                <w:b w:val="1"/>
                <w:color w:val="000000"/>
                <w:sz w:val="20"/>
              </w:rPr>
              <w:t>.202</w:t>
            </w:r>
            <w:r>
              <w:rPr>
                <w:b w:val="1"/>
                <w:color w:val="000000"/>
                <w:sz w:val="20"/>
              </w:rPr>
              <w:t>6</w:t>
            </w:r>
            <w:r>
              <w:rPr>
                <w:b w:val="1"/>
                <w:color w:val="000000"/>
                <w:sz w:val="20"/>
              </w:rPr>
              <w:t>г.–31.12.202</w:t>
            </w:r>
            <w:r>
              <w:rPr>
                <w:b w:val="1"/>
                <w:color w:val="000000"/>
                <w:sz w:val="20"/>
              </w:rPr>
              <w:t>6</w:t>
            </w:r>
            <w:r>
              <w:rPr>
                <w:b w:val="1"/>
                <w:color w:val="000000"/>
                <w:sz w:val="20"/>
              </w:rPr>
              <w:t>г.</w:t>
            </w:r>
          </w:p>
        </w:tc>
      </w:tr>
      <w:tr>
        <w:tc>
          <w:tcPr>
            <w:tcW w:type="dxa" w:w="6237"/>
          </w:tcPr>
          <w:p w14:paraId="0E000000">
            <w:pPr>
              <w:pStyle w:val="Style_2"/>
              <w:rPr>
                <w:sz w:val="20"/>
              </w:rPr>
            </w:pPr>
            <w:r>
              <w:rPr>
                <w:sz w:val="20"/>
              </w:rPr>
              <w:t xml:space="preserve">Бесплатное питание (завтрак или обед) учащихся, получающих начальное общее образование; </w:t>
            </w:r>
          </w:p>
          <w:p w14:paraId="0F000000">
            <w:pPr>
              <w:pStyle w:val="Style_2"/>
              <w:rPr>
                <w:sz w:val="20"/>
              </w:rPr>
            </w:pPr>
            <w:r>
              <w:rPr>
                <w:sz w:val="20"/>
              </w:rPr>
              <w:t>- завтрак</w:t>
            </w:r>
          </w:p>
          <w:p w14:paraId="10000000">
            <w:pPr>
              <w:pStyle w:val="Style_2"/>
              <w:rPr>
                <w:sz w:val="20"/>
              </w:rPr>
            </w:pPr>
            <w:r>
              <w:rPr>
                <w:sz w:val="20"/>
              </w:rPr>
              <w:t>- обед</w:t>
            </w:r>
          </w:p>
        </w:tc>
        <w:tc>
          <w:tcPr>
            <w:tcW w:type="dxa" w:w="2977"/>
          </w:tcPr>
          <w:p w14:paraId="11000000">
            <w:pPr>
              <w:pStyle w:val="Style_2"/>
              <w:widowControl w:val="1"/>
              <w:ind/>
              <w:jc w:val="center"/>
              <w:rPr>
                <w:color w:val="000000"/>
                <w:sz w:val="20"/>
              </w:rPr>
            </w:pPr>
          </w:p>
          <w:p w14:paraId="12000000">
            <w:pPr>
              <w:pStyle w:val="Style_2"/>
              <w:widowControl w:val="1"/>
              <w:ind/>
              <w:jc w:val="center"/>
              <w:rPr>
                <w:color w:val="000000"/>
                <w:sz w:val="20"/>
              </w:rPr>
            </w:pPr>
          </w:p>
          <w:p w14:paraId="13000000">
            <w:pPr>
              <w:pStyle w:val="Style_2"/>
              <w:widowControl w:val="1"/>
              <w:ind/>
              <w:jc w:val="center"/>
              <w:rPr>
                <w:color w:val="000000"/>
                <w:sz w:val="20"/>
              </w:rPr>
            </w:pPr>
            <w:r>
              <w:rPr>
                <w:color w:val="000000"/>
                <w:sz w:val="20"/>
              </w:rPr>
              <w:t>58,81</w:t>
            </w:r>
          </w:p>
          <w:p w14:paraId="14000000">
            <w:pPr>
              <w:pStyle w:val="Style_2"/>
              <w:widowControl w:val="1"/>
              <w:ind/>
              <w:jc w:val="center"/>
              <w:rPr>
                <w:color w:val="000000"/>
                <w:sz w:val="20"/>
              </w:rPr>
            </w:pPr>
            <w:r>
              <w:rPr>
                <w:color w:val="000000"/>
                <w:sz w:val="20"/>
              </w:rPr>
              <w:t>82,34</w:t>
            </w:r>
          </w:p>
        </w:tc>
      </w:tr>
      <w:tr>
        <w:tc>
          <w:tcPr>
            <w:tcW w:type="dxa" w:w="6237"/>
          </w:tcPr>
          <w:p w14:paraId="15000000">
            <w:pPr>
              <w:pStyle w:val="Style_2"/>
              <w:rPr>
                <w:sz w:val="20"/>
              </w:rPr>
            </w:pPr>
            <w:r>
              <w:rPr>
                <w:sz w:val="20"/>
              </w:rPr>
              <w:t xml:space="preserve">Бесплатное питание (обед) учащихся 5–11 классов из числа детей сирот; детей, оставшихся без попечения </w:t>
            </w:r>
          </w:p>
          <w:p w14:paraId="16000000">
            <w:pPr>
              <w:pStyle w:val="Style_2"/>
              <w:rPr>
                <w:sz w:val="20"/>
              </w:rPr>
            </w:pPr>
            <w:r>
              <w:rPr>
                <w:sz w:val="20"/>
              </w:rPr>
              <w:t>родителей; детей из семей, имеющих среднедушевой доход ниже величины прожиточного минимума, установленного в Свердловской области; детей из многодетных семей;</w:t>
            </w:r>
            <w:r>
              <w:rPr>
                <w:rFonts w:ascii="Liberation Serif" w:hAnsi="Liberation Serif"/>
                <w:color w:val="000000"/>
                <w:sz w:val="20"/>
              </w:rPr>
              <w:t xml:space="preserve"> </w:t>
            </w:r>
            <w:r>
              <w:rPr>
                <w:sz w:val="20"/>
              </w:rPr>
              <w:t>для учащихся из числа детей лиц, принимающих (принимавших) участие в специальной военной операции на территориях Украины, Донецкой Народной Республики и Луганской Народной Республики, Запорожской области и Херсонской области; детей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 647 «Об объявлении частичной мобилизации в Российской Федерации» – выписку из личного кабинета пользователя Единой государственной информационной системы социального обеспечения либо справку из воинской части (военного комиссариата субъекта Российской Федерации) (по выбору заявителя), подтверждающую статус семьи мобилизованного гражданина Российской Федерации или участника специальной военной операции.</w:t>
            </w:r>
          </w:p>
        </w:tc>
        <w:tc>
          <w:tcPr>
            <w:tcW w:type="dxa" w:w="2977"/>
          </w:tcPr>
          <w:p w14:paraId="17000000">
            <w:pPr>
              <w:pStyle w:val="Style_2"/>
              <w:widowControl w:val="1"/>
              <w:ind/>
              <w:jc w:val="center"/>
              <w:rPr>
                <w:color w:val="000000"/>
                <w:sz w:val="20"/>
              </w:rPr>
            </w:pPr>
            <w:r>
              <w:rPr>
                <w:color w:val="000000"/>
                <w:sz w:val="20"/>
              </w:rPr>
              <w:t>96,43</w:t>
            </w:r>
          </w:p>
        </w:tc>
      </w:tr>
      <w:tr>
        <w:tc>
          <w:tcPr>
            <w:tcW w:type="dxa" w:w="6237"/>
          </w:tcPr>
          <w:p w14:paraId="18000000">
            <w:pPr>
              <w:pStyle w:val="Style_2"/>
              <w:rPr>
                <w:sz w:val="20"/>
              </w:rPr>
            </w:pPr>
            <w:r>
              <w:rPr>
                <w:sz w:val="20"/>
              </w:rPr>
              <w:t>Бесплатное двухразовое питание (завтрак и обед) учащихся с ограниченными возможностями здоровья, в том числе детей-инвалидов, получающих начальное общее образование (1-4 класс);</w:t>
            </w:r>
          </w:p>
        </w:tc>
        <w:tc>
          <w:tcPr>
            <w:tcW w:type="dxa" w:w="2977"/>
          </w:tcPr>
          <w:p w14:paraId="19000000">
            <w:pPr>
              <w:pStyle w:val="Style_2"/>
              <w:widowControl w:val="1"/>
              <w:ind/>
              <w:jc w:val="center"/>
              <w:rPr>
                <w:color w:val="000000"/>
                <w:sz w:val="20"/>
              </w:rPr>
            </w:pPr>
            <w:r>
              <w:rPr>
                <w:color w:val="000000"/>
                <w:sz w:val="20"/>
              </w:rPr>
              <w:t>141,15</w:t>
            </w:r>
          </w:p>
        </w:tc>
      </w:tr>
      <w:tr>
        <w:tc>
          <w:tcPr>
            <w:tcW w:type="dxa" w:w="6237"/>
          </w:tcPr>
          <w:p w14:paraId="1A000000">
            <w:pPr>
              <w:pStyle w:val="Style_2"/>
              <w:rPr>
                <w:sz w:val="20"/>
              </w:rPr>
            </w:pPr>
            <w:r>
              <w:rPr>
                <w:sz w:val="20"/>
              </w:rPr>
              <w:t>Бесплатное двухразовое питание (завтрак и обед) учащихся с ограниченными возможностями здоровья 5–11 классов, в том числе детей-инвалидов.</w:t>
            </w:r>
          </w:p>
        </w:tc>
        <w:tc>
          <w:tcPr>
            <w:tcW w:type="dxa" w:w="2977"/>
          </w:tcPr>
          <w:p w14:paraId="1B000000">
            <w:pPr>
              <w:pStyle w:val="Style_2"/>
              <w:widowControl w:val="1"/>
              <w:ind/>
              <w:jc w:val="center"/>
              <w:rPr>
                <w:color w:val="000000"/>
                <w:sz w:val="20"/>
              </w:rPr>
            </w:pPr>
            <w:r>
              <w:rPr>
                <w:color w:val="000000"/>
                <w:sz w:val="20"/>
              </w:rPr>
              <w:t>165,31</w:t>
            </w:r>
          </w:p>
        </w:tc>
      </w:tr>
    </w:tbl>
    <w:p w14:paraId="1C000000">
      <w:pPr>
        <w:pStyle w:val="Style_2"/>
        <w:rPr>
          <w:sz w:val="20"/>
        </w:rPr>
      </w:pPr>
    </w:p>
    <w:sectPr>
      <w:headerReference r:id="rId1" w:type="default"/>
      <w:pgSz w:h="16838" w:orient="portrait" w:w="11906"/>
      <w:pgMar w:bottom="1134" w:footer="708" w:gutter="0" w:header="708" w:left="1701" w:right="850"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pPr>
    <w:r>
      <w:t>015</w:t>
    </w:r>
  </w:p>
</w:hdr>
</file>

<file path=word/settings.xml><?xml version="1.0" encoding="utf-8"?>
<w:setting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1"/>
        <w:spacing w:after="200" w:before="0" w:line="276"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4" w:type="paragraph">
    <w:name w:val="Normal"/>
    <w:link w:val="Style_4_ch"/>
    <w:uiPriority w:val="0"/>
    <w:qFormat/>
  </w:style>
  <w:style w:default="1" w:styleId="Style_4_ch" w:type="character">
    <w:name w:val="Normal"/>
    <w:link w:val="Style_4"/>
  </w:style>
  <w:style w:styleId="Style_1" w:type="paragraph">
    <w:name w:val="header"/>
    <w:basedOn w:val="Style_4"/>
    <w:link w:val="Style_1_ch"/>
    <w:pPr>
      <w:widowControl w:val="1"/>
      <w:tabs>
        <w:tab w:leader="none" w:pos="4677" w:val="center"/>
        <w:tab w:leader="none" w:pos="9355" w:val="right"/>
      </w:tabs>
      <w:spacing w:after="0" w:line="240" w:lineRule="auto"/>
      <w:ind/>
    </w:pPr>
  </w:style>
  <w:style w:styleId="Style_1_ch" w:type="character">
    <w:name w:val="header"/>
    <w:basedOn w:val="Style_4_ch"/>
    <w:link w:val="Style_1"/>
  </w:style>
  <w:style w:styleId="Style_5" w:type="paragraph">
    <w:name w:val="toc 2"/>
    <w:next w:val="Style_4"/>
    <w:link w:val="Style_5_ch"/>
    <w:uiPriority w:val="39"/>
    <w:pPr>
      <w:ind w:firstLine="0" w:left="200"/>
      <w:jc w:val="left"/>
    </w:pPr>
    <w:rPr>
      <w:rFonts w:ascii="XO Thames" w:hAnsi="XO Thames"/>
      <w:sz w:val="28"/>
    </w:rPr>
  </w:style>
  <w:style w:styleId="Style_5_ch" w:type="character">
    <w:name w:val="toc 2"/>
    <w:link w:val="Style_5"/>
    <w:rPr>
      <w:rFonts w:ascii="XO Thames" w:hAnsi="XO Thames"/>
      <w:sz w:val="28"/>
    </w:rPr>
  </w:style>
  <w:style w:styleId="Style_6" w:type="paragraph">
    <w:name w:val="toc 4"/>
    <w:next w:val="Style_4"/>
    <w:link w:val="Style_6_ch"/>
    <w:uiPriority w:val="39"/>
    <w:pPr>
      <w:ind w:firstLine="0" w:left="600"/>
      <w:jc w:val="left"/>
    </w:pPr>
    <w:rPr>
      <w:rFonts w:ascii="XO Thames" w:hAnsi="XO Thames"/>
      <w:sz w:val="28"/>
    </w:rPr>
  </w:style>
  <w:style w:styleId="Style_6_ch" w:type="character">
    <w:name w:val="toc 4"/>
    <w:link w:val="Style_6"/>
    <w:rPr>
      <w:rFonts w:ascii="XO Thames" w:hAnsi="XO Thames"/>
      <w:sz w:val="28"/>
    </w:rPr>
  </w:style>
  <w:style w:styleId="Style_7" w:type="paragraph">
    <w:name w:val="toc 6"/>
    <w:next w:val="Style_4"/>
    <w:link w:val="Style_7_ch"/>
    <w:uiPriority w:val="39"/>
    <w:pPr>
      <w:ind w:firstLine="0" w:left="1000"/>
      <w:jc w:val="left"/>
    </w:pPr>
    <w:rPr>
      <w:rFonts w:ascii="XO Thames" w:hAnsi="XO Thames"/>
      <w:sz w:val="28"/>
    </w:rPr>
  </w:style>
  <w:style w:styleId="Style_7_ch" w:type="character">
    <w:name w:val="toc 6"/>
    <w:link w:val="Style_7"/>
    <w:rPr>
      <w:rFonts w:ascii="XO Thames" w:hAnsi="XO Thames"/>
      <w:sz w:val="28"/>
    </w:rPr>
  </w:style>
  <w:style w:styleId="Style_8" w:type="paragraph">
    <w:name w:val="toc 7"/>
    <w:next w:val="Style_4"/>
    <w:link w:val="Style_8_ch"/>
    <w:uiPriority w:val="39"/>
    <w:pPr>
      <w:ind w:firstLine="0" w:left="1200"/>
      <w:jc w:val="left"/>
    </w:pPr>
    <w:rPr>
      <w:rFonts w:ascii="XO Thames" w:hAnsi="XO Thames"/>
      <w:sz w:val="28"/>
    </w:rPr>
  </w:style>
  <w:style w:styleId="Style_8_ch" w:type="character">
    <w:name w:val="toc 7"/>
    <w:link w:val="Style_8"/>
    <w:rPr>
      <w:rFonts w:ascii="XO Thames" w:hAnsi="XO Thames"/>
      <w:sz w:val="28"/>
    </w:rPr>
  </w:style>
  <w:style w:styleId="Style_9" w:type="paragraph">
    <w:name w:val="Endnote"/>
    <w:link w:val="Style_9_ch"/>
    <w:pPr>
      <w:ind w:firstLine="851" w:left="0"/>
      <w:jc w:val="both"/>
    </w:pPr>
    <w:rPr>
      <w:rFonts w:ascii="XO Thames" w:hAnsi="XO Thames"/>
      <w:sz w:val="22"/>
    </w:rPr>
  </w:style>
  <w:style w:styleId="Style_9_ch" w:type="character">
    <w:name w:val="Endnote"/>
    <w:link w:val="Style_9"/>
    <w:rPr>
      <w:rFonts w:ascii="XO Thames" w:hAnsi="XO Thames"/>
      <w:sz w:val="22"/>
    </w:rPr>
  </w:style>
  <w:style w:styleId="Style_10" w:type="paragraph">
    <w:name w:val="heading 3"/>
    <w:next w:val="Style_4"/>
    <w:link w:val="Style_10_ch"/>
    <w:uiPriority w:val="9"/>
    <w:qFormat/>
    <w:pPr>
      <w:spacing w:after="120" w:before="120"/>
      <w:ind/>
      <w:jc w:val="both"/>
      <w:outlineLvl w:val="2"/>
    </w:pPr>
    <w:rPr>
      <w:rFonts w:ascii="XO Thames" w:hAnsi="XO Thames"/>
      <w:b w:val="1"/>
      <w:sz w:val="26"/>
    </w:rPr>
  </w:style>
  <w:style w:styleId="Style_10_ch" w:type="character">
    <w:name w:val="heading 3"/>
    <w:link w:val="Style_10"/>
    <w:rPr>
      <w:rFonts w:ascii="XO Thames" w:hAnsi="XO Thames"/>
      <w:b w:val="1"/>
      <w:sz w:val="26"/>
    </w:rPr>
  </w:style>
  <w:style w:styleId="Style_11" w:type="paragraph">
    <w:name w:val="toc 3"/>
    <w:next w:val="Style_4"/>
    <w:link w:val="Style_11_ch"/>
    <w:uiPriority w:val="39"/>
    <w:pPr>
      <w:ind w:firstLine="0" w:left="400"/>
      <w:jc w:val="left"/>
    </w:pPr>
    <w:rPr>
      <w:rFonts w:ascii="XO Thames" w:hAnsi="XO Thames"/>
      <w:sz w:val="28"/>
    </w:rPr>
  </w:style>
  <w:style w:styleId="Style_11_ch" w:type="character">
    <w:name w:val="toc 3"/>
    <w:link w:val="Style_11"/>
    <w:rPr>
      <w:rFonts w:ascii="XO Thames" w:hAnsi="XO Thames"/>
      <w:sz w:val="28"/>
    </w:rPr>
  </w:style>
  <w:style w:styleId="Style_12" w:type="paragraph">
    <w:name w:val="Balloon Text"/>
    <w:basedOn w:val="Style_4"/>
    <w:link w:val="Style_12_ch"/>
    <w:pPr>
      <w:widowControl w:val="1"/>
      <w:spacing w:after="0" w:line="240" w:lineRule="auto"/>
      <w:ind/>
    </w:pPr>
    <w:rPr>
      <w:rFonts w:ascii="Tahoma" w:hAnsi="Tahoma"/>
      <w:sz w:val="16"/>
    </w:rPr>
  </w:style>
  <w:style w:styleId="Style_12_ch" w:type="character">
    <w:name w:val="Balloon Text"/>
    <w:basedOn w:val="Style_4_ch"/>
    <w:link w:val="Style_12"/>
    <w:rPr>
      <w:rFonts w:ascii="Tahoma" w:hAnsi="Tahoma"/>
      <w:sz w:val="16"/>
    </w:rPr>
  </w:style>
  <w:style w:styleId="Style_13" w:type="paragraph">
    <w:name w:val="heading 5"/>
    <w:next w:val="Style_4"/>
    <w:link w:val="Style_13_ch"/>
    <w:uiPriority w:val="9"/>
    <w:qFormat/>
    <w:pPr>
      <w:spacing w:after="120" w:before="120"/>
      <w:ind/>
      <w:jc w:val="both"/>
      <w:outlineLvl w:val="4"/>
    </w:pPr>
    <w:rPr>
      <w:rFonts w:ascii="XO Thames" w:hAnsi="XO Thames"/>
      <w:b w:val="1"/>
      <w:sz w:val="22"/>
    </w:rPr>
  </w:style>
  <w:style w:styleId="Style_13_ch" w:type="character">
    <w:name w:val="heading 5"/>
    <w:link w:val="Style_13"/>
    <w:rPr>
      <w:rFonts w:ascii="XO Thames" w:hAnsi="XO Thames"/>
      <w:b w:val="1"/>
      <w:sz w:val="22"/>
    </w:rPr>
  </w:style>
  <w:style w:styleId="Style_14" w:type="paragraph">
    <w:name w:val="heading 1"/>
    <w:next w:val="Style_4"/>
    <w:link w:val="Style_14_ch"/>
    <w:uiPriority w:val="9"/>
    <w:qFormat/>
    <w:pPr>
      <w:spacing w:after="120" w:before="120"/>
      <w:ind/>
      <w:jc w:val="both"/>
      <w:outlineLvl w:val="0"/>
    </w:pPr>
    <w:rPr>
      <w:rFonts w:ascii="XO Thames" w:hAnsi="XO Thames"/>
      <w:b w:val="1"/>
      <w:sz w:val="32"/>
    </w:rPr>
  </w:style>
  <w:style w:styleId="Style_14_ch" w:type="character">
    <w:name w:val="heading 1"/>
    <w:link w:val="Style_14"/>
    <w:rPr>
      <w:rFonts w:ascii="XO Thames" w:hAnsi="XO Thames"/>
      <w:b w:val="1"/>
      <w:sz w:val="32"/>
    </w:rPr>
  </w:style>
  <w:style w:styleId="Style_2" w:type="paragraph">
    <w:name w:val="Default"/>
    <w:link w:val="Style_2_ch"/>
    <w:pPr>
      <w:widowControl w:val="1"/>
      <w:spacing w:after="0" w:line="240" w:lineRule="auto"/>
      <w:ind/>
    </w:pPr>
    <w:rPr>
      <w:rFonts w:ascii="Times New Roman" w:hAnsi="Times New Roman"/>
      <w:color w:val="000000"/>
      <w:sz w:val="24"/>
    </w:rPr>
  </w:style>
  <w:style w:styleId="Style_2_ch" w:type="character">
    <w:name w:val="Default"/>
    <w:link w:val="Style_2"/>
    <w:rPr>
      <w:rFonts w:ascii="Times New Roman" w:hAnsi="Times New Roman"/>
      <w:color w:val="000000"/>
      <w:sz w:val="24"/>
    </w:rPr>
  </w:style>
  <w:style w:styleId="Style_15" w:type="paragraph">
    <w:name w:val="Hyperlink"/>
    <w:basedOn w:val="Style_16"/>
    <w:link w:val="Style_15_ch"/>
    <w:rPr>
      <w:color w:val="0000FF"/>
      <w:u w:val="single"/>
    </w:rPr>
  </w:style>
  <w:style w:styleId="Style_15_ch" w:type="character">
    <w:name w:val="Hyperlink"/>
    <w:basedOn w:val="Style_16_ch"/>
    <w:link w:val="Style_15"/>
    <w:rPr>
      <w:color w:val="0000FF"/>
      <w:u w:val="single"/>
    </w:rPr>
  </w:style>
  <w:style w:styleId="Style_17" w:type="paragraph">
    <w:name w:val="Footnote"/>
    <w:link w:val="Style_17_ch"/>
    <w:pPr>
      <w:ind w:firstLine="851" w:left="0"/>
      <w:jc w:val="both"/>
    </w:pPr>
    <w:rPr>
      <w:rFonts w:ascii="XO Thames" w:hAnsi="XO Thames"/>
      <w:sz w:val="22"/>
    </w:rPr>
  </w:style>
  <w:style w:styleId="Style_17_ch" w:type="character">
    <w:name w:val="Footnote"/>
    <w:link w:val="Style_17"/>
    <w:rPr>
      <w:rFonts w:ascii="XO Thames" w:hAnsi="XO Thames"/>
      <w:sz w:val="22"/>
    </w:rPr>
  </w:style>
  <w:style w:styleId="Style_18" w:type="paragraph">
    <w:name w:val="toc 1"/>
    <w:next w:val="Style_4"/>
    <w:link w:val="Style_18_ch"/>
    <w:uiPriority w:val="39"/>
    <w:pPr>
      <w:ind w:firstLine="0" w:left="0"/>
      <w:jc w:val="left"/>
    </w:pPr>
    <w:rPr>
      <w:rFonts w:ascii="XO Thames" w:hAnsi="XO Thames"/>
      <w:b w:val="1"/>
      <w:sz w:val="28"/>
    </w:rPr>
  </w:style>
  <w:style w:styleId="Style_18_ch" w:type="character">
    <w:name w:val="toc 1"/>
    <w:link w:val="Style_18"/>
    <w:rPr>
      <w:rFonts w:ascii="XO Thames" w:hAnsi="XO Thames"/>
      <w:b w:val="1"/>
      <w:sz w:val="28"/>
    </w:rPr>
  </w:style>
  <w:style w:styleId="Style_19" w:type="paragraph">
    <w:name w:val="Header and Footer"/>
    <w:link w:val="Style_19_ch"/>
    <w:pPr>
      <w:spacing w:line="240" w:lineRule="auto"/>
      <w:ind/>
      <w:jc w:val="both"/>
    </w:pPr>
    <w:rPr>
      <w:rFonts w:ascii="XO Thames" w:hAnsi="XO Thames"/>
      <w:sz w:val="28"/>
    </w:rPr>
  </w:style>
  <w:style w:styleId="Style_19_ch" w:type="character">
    <w:name w:val="Header and Footer"/>
    <w:link w:val="Style_19"/>
    <w:rPr>
      <w:rFonts w:ascii="XO Thames" w:hAnsi="XO Thames"/>
      <w:sz w:val="28"/>
    </w:rPr>
  </w:style>
  <w:style w:styleId="Style_20" w:type="paragraph">
    <w:name w:val="footer"/>
    <w:basedOn w:val="Style_4"/>
    <w:link w:val="Style_20_ch"/>
    <w:pPr>
      <w:widowControl w:val="1"/>
      <w:tabs>
        <w:tab w:leader="none" w:pos="4677" w:val="center"/>
        <w:tab w:leader="none" w:pos="9355" w:val="right"/>
      </w:tabs>
      <w:spacing w:after="0" w:line="240" w:lineRule="auto"/>
      <w:ind/>
    </w:pPr>
  </w:style>
  <w:style w:styleId="Style_20_ch" w:type="character">
    <w:name w:val="footer"/>
    <w:basedOn w:val="Style_4_ch"/>
    <w:link w:val="Style_20"/>
  </w:style>
  <w:style w:styleId="Style_21" w:type="paragraph">
    <w:name w:val="toc 9"/>
    <w:next w:val="Style_4"/>
    <w:link w:val="Style_21_ch"/>
    <w:uiPriority w:val="39"/>
    <w:pPr>
      <w:ind w:firstLine="0" w:left="1600"/>
      <w:jc w:val="left"/>
    </w:pPr>
    <w:rPr>
      <w:rFonts w:ascii="XO Thames" w:hAnsi="XO Thames"/>
      <w:sz w:val="28"/>
    </w:rPr>
  </w:style>
  <w:style w:styleId="Style_21_ch" w:type="character">
    <w:name w:val="toc 9"/>
    <w:link w:val="Style_21"/>
    <w:rPr>
      <w:rFonts w:ascii="XO Thames" w:hAnsi="XO Thames"/>
      <w:sz w:val="28"/>
    </w:rPr>
  </w:style>
  <w:style w:styleId="Style_22" w:type="paragraph">
    <w:name w:val="toc 8"/>
    <w:next w:val="Style_4"/>
    <w:link w:val="Style_22_ch"/>
    <w:uiPriority w:val="39"/>
    <w:pPr>
      <w:ind w:firstLine="0" w:left="1400"/>
      <w:jc w:val="left"/>
    </w:pPr>
    <w:rPr>
      <w:rFonts w:ascii="XO Thames" w:hAnsi="XO Thames"/>
      <w:sz w:val="28"/>
    </w:rPr>
  </w:style>
  <w:style w:styleId="Style_22_ch" w:type="character">
    <w:name w:val="toc 8"/>
    <w:link w:val="Style_22"/>
    <w:rPr>
      <w:rFonts w:ascii="XO Thames" w:hAnsi="XO Thames"/>
      <w:sz w:val="28"/>
    </w:rPr>
  </w:style>
  <w:style w:styleId="Style_23" w:type="paragraph">
    <w:name w:val="Strong"/>
    <w:basedOn w:val="Style_16"/>
    <w:link w:val="Style_23_ch"/>
    <w:rPr>
      <w:b w:val="1"/>
    </w:rPr>
  </w:style>
  <w:style w:styleId="Style_23_ch" w:type="character">
    <w:name w:val="Strong"/>
    <w:basedOn w:val="Style_16_ch"/>
    <w:link w:val="Style_23"/>
    <w:rPr>
      <w:b w:val="1"/>
    </w:rPr>
  </w:style>
  <w:style w:styleId="Style_24" w:type="paragraph">
    <w:name w:val="toc 5"/>
    <w:next w:val="Style_4"/>
    <w:link w:val="Style_24_ch"/>
    <w:uiPriority w:val="39"/>
    <w:pPr>
      <w:ind w:firstLine="0" w:left="800"/>
      <w:jc w:val="left"/>
    </w:pPr>
    <w:rPr>
      <w:rFonts w:ascii="XO Thames" w:hAnsi="XO Thames"/>
      <w:sz w:val="28"/>
    </w:rPr>
  </w:style>
  <w:style w:styleId="Style_24_ch" w:type="character">
    <w:name w:val="toc 5"/>
    <w:link w:val="Style_24"/>
    <w:rPr>
      <w:rFonts w:ascii="XO Thames" w:hAnsi="XO Thames"/>
      <w:sz w:val="28"/>
    </w:rPr>
  </w:style>
  <w:style w:styleId="Style_25" w:type="paragraph">
    <w:name w:val="Subtitle"/>
    <w:next w:val="Style_4"/>
    <w:link w:val="Style_25_ch"/>
    <w:uiPriority w:val="11"/>
    <w:qFormat/>
    <w:pPr>
      <w:ind/>
      <w:jc w:val="both"/>
    </w:pPr>
    <w:rPr>
      <w:rFonts w:ascii="XO Thames" w:hAnsi="XO Thames"/>
      <w:i w:val="1"/>
      <w:sz w:val="24"/>
    </w:rPr>
  </w:style>
  <w:style w:styleId="Style_25_ch" w:type="character">
    <w:name w:val="Subtitle"/>
    <w:link w:val="Style_25"/>
    <w:rPr>
      <w:rFonts w:ascii="XO Thames" w:hAnsi="XO Thames"/>
      <w:i w:val="1"/>
      <w:sz w:val="24"/>
    </w:rPr>
  </w:style>
  <w:style w:styleId="Style_26" w:type="paragraph">
    <w:name w:val="Title"/>
    <w:next w:val="Style_4"/>
    <w:link w:val="Style_26_ch"/>
    <w:uiPriority w:val="10"/>
    <w:qFormat/>
    <w:pPr>
      <w:spacing w:after="567" w:before="567"/>
      <w:ind/>
      <w:jc w:val="center"/>
    </w:pPr>
    <w:rPr>
      <w:rFonts w:ascii="XO Thames" w:hAnsi="XO Thames"/>
      <w:b w:val="1"/>
      <w:caps w:val="1"/>
      <w:sz w:val="40"/>
    </w:rPr>
  </w:style>
  <w:style w:styleId="Style_26_ch" w:type="character">
    <w:name w:val="Title"/>
    <w:link w:val="Style_26"/>
    <w:rPr>
      <w:rFonts w:ascii="XO Thames" w:hAnsi="XO Thames"/>
      <w:b w:val="1"/>
      <w:caps w:val="1"/>
      <w:sz w:val="40"/>
    </w:rPr>
  </w:style>
  <w:style w:styleId="Style_27" w:type="paragraph">
    <w:name w:val="heading 4"/>
    <w:next w:val="Style_4"/>
    <w:link w:val="Style_27_ch"/>
    <w:uiPriority w:val="9"/>
    <w:qFormat/>
    <w:pPr>
      <w:spacing w:after="120" w:before="120"/>
      <w:ind/>
      <w:jc w:val="both"/>
      <w:outlineLvl w:val="3"/>
    </w:pPr>
    <w:rPr>
      <w:rFonts w:ascii="XO Thames" w:hAnsi="XO Thames"/>
      <w:b w:val="1"/>
      <w:sz w:val="24"/>
    </w:rPr>
  </w:style>
  <w:style w:styleId="Style_27_ch" w:type="character">
    <w:name w:val="heading 4"/>
    <w:link w:val="Style_27"/>
    <w:rPr>
      <w:rFonts w:ascii="XO Thames" w:hAnsi="XO Thames"/>
      <w:b w:val="1"/>
      <w:sz w:val="24"/>
    </w:rPr>
  </w:style>
  <w:style w:styleId="Style_28" w:type="paragraph">
    <w:name w:val="heading 2"/>
    <w:next w:val="Style_4"/>
    <w:link w:val="Style_28_ch"/>
    <w:uiPriority w:val="9"/>
    <w:qFormat/>
    <w:pPr>
      <w:spacing w:after="120" w:before="120"/>
      <w:ind/>
      <w:jc w:val="both"/>
      <w:outlineLvl w:val="1"/>
    </w:pPr>
    <w:rPr>
      <w:rFonts w:ascii="XO Thames" w:hAnsi="XO Thames"/>
      <w:b w:val="1"/>
      <w:sz w:val="28"/>
    </w:rPr>
  </w:style>
  <w:style w:styleId="Style_28_ch" w:type="character">
    <w:name w:val="heading 2"/>
    <w:link w:val="Style_28"/>
    <w:rPr>
      <w:rFonts w:ascii="XO Thames" w:hAnsi="XO Thames"/>
      <w:b w:val="1"/>
      <w:sz w:val="28"/>
    </w:rPr>
  </w:style>
  <w:style w:styleId="Style_16" w:type="paragraph">
    <w:name w:val="Default Paragraph Font"/>
    <w:link w:val="Style_16_ch"/>
  </w:style>
  <w:style w:styleId="Style_16_ch" w:type="character">
    <w:name w:val="Default Paragraph Font"/>
    <w:link w:val="Style_16"/>
  </w:style>
  <w:style w:styleId="Style_3" w:type="table">
    <w:name w:val="Table Grid"/>
    <w:basedOn w:val="Style_29"/>
    <w:pPr>
      <w:widowControl w:val="1"/>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29"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tyles.xml" Type="http://schemas.openxmlformats.org/officeDocument/2006/relationships/styles"/>
  <Relationship Id="rId1" Target="header1.xml" Type="http://schemas.openxmlformats.org/officeDocument/2006/relationships/header"/>
  <Relationship Id="rId7" Target="theme/theme1.xml" Type="http://schemas.openxmlformats.org/officeDocument/2006/relationships/theme"/>
  <Relationship Id="rId5" Target="stylesWithEffects.xml" Type="http://schemas.microsoft.com/office/2007/relationships/stylesWithEffects"/>
  <Relationship Id="rId3" Target="settings.xml" Type="http://schemas.openxmlformats.org/officeDocument/2006/relationships/settings"/>
  <Relationship Id="rId2" Target="fontTable.xml" Type="http://schemas.openxmlformats.org/officeDocument/2006/relationships/fontTable"/>
  <Relationship Id="rId6" Target="webSettings.xml" Type="http://schemas.openxmlformats.org/officeDocument/2006/relationships/webSettings"/>
</Relationships>

</file>

<file path=word/theme/theme1.xml><?xml version="1.0" encoding="utf-8"?>
<a:theme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MyOffice-CoreFramework-Android/41-1442.1138.10597.1072.1@51e32e2c44ab45f6658b92f4d6d43f4c3b886c00</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2024-09-03T05:53:00Z</dcterms:created>
  <dcterms:modified xsi:type="dcterms:W3CDTF">2026-03-10T11:37:00Z</dcterms:modified>
</cp:coreProperties>
</file>